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1048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3133"/>
        <w:gridCol w:w="7352"/>
        <w:tblGridChange w:id="0">
          <w:tblGrid>
            <w:gridCol w:w="3133"/>
            <w:gridCol w:w="7352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  <w:shd w:fill="fae2d6" w:val="clear"/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 SERVICIOS PÚBLICOS OFERTADOS POR EL O.P.D. INSTITUTO JALISCIENSE DE CANCEROLOGÍA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Nombre del Servicio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Servicio de cirugía oncológica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Unidad administrativa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Responsable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Dirección médica/Quirófano</w:t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rPr>
          <w:rFonts w:ascii="Questrial" w:cs="Questrial" w:eastAsia="Questrial" w:hAnsi="Quest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righ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pPr w:leftFromText="141" w:rightFromText="141" w:topFromText="0" w:bottomFromText="0" w:vertAnchor="text" w:horzAnchor="text" w:tblpX="0" w:tblpY="0"/>
        <w:tblW w:w="10343.0" w:type="dxa"/>
        <w:jc w:val="left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2122"/>
        <w:gridCol w:w="3543"/>
        <w:gridCol w:w="1418"/>
        <w:gridCol w:w="3260"/>
        <w:tblGridChange w:id="0">
          <w:tblGrid>
            <w:gridCol w:w="2122"/>
            <w:gridCol w:w="3543"/>
            <w:gridCol w:w="1418"/>
            <w:gridCol w:w="3260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Procedimiento, requisitos y formatos. 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Acudir a solicitar su consulta médica.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es candidato a Cirugía el médico lo programará y le dará una cita para firma de consentimientos informados.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Realizarse los estudios que le indique el médico: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3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Valoración Pre Anestésica (Sacar cita para la valoración en primer piso del Instituto.)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3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Valoración Cardiológica (Si aplica) (Sacar cita para la valoración en piso 3, en Unidad de Cuidados Intermedios.)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3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Tiempos De Coagulación Vales De Donación Prueba Covid (estas u otras que considere el médico tratante).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left="678" w:firstLine="0"/>
              <w:jc w:val="both"/>
              <w:rPr>
                <w:rFonts w:ascii="Questrial" w:cs="Questrial" w:eastAsia="Questrial" w:hAnsi="Quest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2"/>
                <w:szCs w:val="22"/>
                <w:u w:val="single"/>
                <w:rtl w:val="0"/>
              </w:rPr>
              <w:t xml:space="preserve">Los resultados de los estudios deberá de llevarlos el día de la cita para la firma de consentimientos informados.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Acudir a la consulta, el día y la hora en que se le indico para la firma de Consentimientos Informados.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le indicará el día y la hora en la cual deberá de presentarse para ingresar al protocolo de Cirugía.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Número y tipo de beneficiarios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2"/>
                <w:szCs w:val="22"/>
                <w:rtl w:val="0"/>
              </w:rPr>
              <w:t xml:space="preserve">Pacientes mayores de 17 años que presenten alguna neoplasia y sean candidatos a recibir tratamiento con quimioterapia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Recursos materiales humanos y financieros asignados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de Consulta de Quimioterapia</w:t>
              <w:br w:type="textWrapping"/>
              <w:t xml:space="preserve">Central de Mezclas</w:t>
              <w:br w:type="textWrapping"/>
              <w:t xml:space="preserve">Área de aplicación de Quimioterapia.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Médicos Especialistas en oncología médica, hematología, Químico y enfermeras.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Costo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2"/>
                <w:szCs w:val="22"/>
                <w:rtl w:val="0"/>
              </w:rPr>
              <w:t xml:space="preserve">De acuerdo a las cuotas de recuperación y considerando estudios socioeconómicos. 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Domicilio de las oficinas donde se realiza el trámite.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2"/>
                <w:szCs w:val="22"/>
                <w:rtl w:val="0"/>
              </w:rPr>
              <w:t xml:space="preserve">Puerto Guaymas N° 418</w:t>
              <w:br w:type="textWrapping"/>
              <w:t xml:space="preserve">Col. Miramar</w:t>
              <w:br w:type="textWrapping"/>
              <w:t xml:space="preserve">Zapopan, Jalisco.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Fundamento legal de su cobro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2"/>
                <w:szCs w:val="22"/>
                <w:rtl w:val="0"/>
              </w:rPr>
              <w:t xml:space="preserve">"Decreto de Creación del Instituto Jalisciense de Cancerología. Tabulador de cuotas de recuperación vigente del IJC.”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567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Questrial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-266699</wp:posOffset>
              </wp:positionV>
              <wp:extent cx="437515" cy="889000"/>
              <wp:effectExtent b="0" l="0" r="0" t="0"/>
              <wp:wrapSquare wrapText="bothSides" distB="0" distT="0" distL="114300" distR="114300"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27225" y="3335500"/>
                        <a:ext cx="437515" cy="889000"/>
                        <a:chOff x="5127225" y="3335500"/>
                        <a:chExt cx="436975" cy="889000"/>
                      </a:xfrm>
                    </wpg:grpSpPr>
                    <wpg:grpSp>
                      <wpg:cNvGrpSpPr/>
                      <wpg:grpSpPr>
                        <a:xfrm>
                          <a:off x="5127243" y="3335500"/>
                          <a:ext cx="437515" cy="889000"/>
                          <a:chOff x="116" y="-1120"/>
                          <a:chExt cx="527" cy="1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6" y="-1120"/>
                            <a:ext cx="525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1" y="-1120"/>
                            <a:ext cx="412" cy="1400"/>
                          </a:xfrm>
                          <a:custGeom>
                            <a:rect b="b" l="l" r="r" t="t"/>
                            <a:pathLst>
                              <a:path extrusionOk="0" h="1650" w="592">
                                <a:moveTo>
                                  <a:pt x="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9"/>
                                </a:lnTo>
                                <a:lnTo>
                                  <a:pt x="591" y="1649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184A">
                              <a:alpha val="74901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16" y="-1120"/>
                            <a:ext cx="123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-266699</wp:posOffset>
              </wp:positionV>
              <wp:extent cx="437515" cy="889000"/>
              <wp:effectExtent b="0" l="0" r="0" t="0"/>
              <wp:wrapSquare wrapText="bothSides" distB="0" distT="0" distL="114300" distR="11430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515" cy="889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-768349</wp:posOffset>
          </wp:positionH>
          <wp:positionV relativeFrom="paragraph">
            <wp:posOffset>-229234</wp:posOffset>
          </wp:positionV>
          <wp:extent cx="1704975" cy="5143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03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7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9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3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5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9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B2F61"/>
    <w:pPr>
      <w:spacing w:after="0" w:line="240" w:lineRule="auto"/>
    </w:pPr>
    <w:rPr>
      <w:rFonts w:ascii="Times New Roman" w:cs="Times New Roman" w:eastAsia="Times New Roman" w:hAnsi="Times New Roman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0B2F6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B2F6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0B2F6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0B2F6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0B2F6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0B2F6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0B2F6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0B2F6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0B2F6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0B2F6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B2F6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0B2F6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0B2F6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0B2F61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0B2F61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0B2F61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0B2F61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0B2F61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0B2F6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B2F6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0B2F6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B2F6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0B2F6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0B2F61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0B2F61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0B2F61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0B2F6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B2F61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0B2F61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0B2F6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B2F61"/>
    <w:rPr>
      <w:rFonts w:ascii="Times New Roman" w:cs="Times New Roman" w:eastAsia="Times New Roman" w:hAnsi="Times New Roman"/>
      <w:kern w:val="0"/>
      <w:lang w:eastAsia="es-ES"/>
    </w:rPr>
  </w:style>
  <w:style w:type="table" w:styleId="Tablaconcuadrcula">
    <w:name w:val="Table Grid"/>
    <w:basedOn w:val="Tablanormal"/>
    <w:rsid w:val="000B2F61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0B2F6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B2F61"/>
    <w:rPr>
      <w:rFonts w:ascii="Times New Roman" w:cs="Times New Roman" w:eastAsia="Times New Roman" w:hAnsi="Times New Roman"/>
      <w:kern w:val="0"/>
      <w:lang w:eastAsia="es-ES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3Lhxc7ef9g31boEecP/W3G2sw==">CgMxLjA4AHIhMXVMRXNNUU5rSHhWcG13VkJ4ZkRlLTVVNlZTcTBwZU11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Betsy Rivera</dc:creator>
</cp:coreProperties>
</file>